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bookmarkStart w:id="2" w:name="_GoBack"/>
      <w:bookmarkStart w:id="0" w:name="_Toc10836"/>
      <w:bookmarkStart w:id="1" w:name="_Toc23446"/>
      <w:r>
        <w:rPr>
          <w:rFonts w:hint="eastAsia" w:ascii="方正小标宋简体" w:hAnsi="方正小标宋简体" w:eastAsia="方正小标宋简体" w:cs="方正小标宋简体"/>
          <w:b w:val="0"/>
          <w:bCs w:val="0"/>
          <w:sz w:val="44"/>
          <w:szCs w:val="44"/>
        </w:rPr>
        <w:t>教育部关于高校教师师德失范行为处理的指导意见</w:t>
      </w:r>
      <w:bookmarkEnd w:id="0"/>
      <w:bookmarkEnd w:id="1"/>
    </w:p>
    <w:bookmarkEnd w:id="2"/>
    <w:p>
      <w:pPr>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i w:val="0"/>
          <w:iCs w:val="0"/>
          <w:caps w:val="0"/>
          <w:color w:val="4B4B4B"/>
          <w:spacing w:val="0"/>
          <w:sz w:val="32"/>
          <w:szCs w:val="32"/>
          <w:shd w:val="clear" w:fill="FFFFFF"/>
          <w:lang w:val="en-US" w:eastAsia="zh-CN"/>
        </w:rPr>
        <w:t>(</w:t>
      </w:r>
      <w:r>
        <w:rPr>
          <w:rFonts w:hint="eastAsia" w:ascii="楷体_GB2312" w:hAnsi="楷体_GB2312" w:eastAsia="楷体_GB2312" w:cs="楷体_GB2312"/>
          <w:i w:val="0"/>
          <w:iCs w:val="0"/>
          <w:caps w:val="0"/>
          <w:color w:val="4B4B4B"/>
          <w:spacing w:val="0"/>
          <w:sz w:val="32"/>
          <w:szCs w:val="32"/>
          <w:shd w:val="clear" w:fill="FFFFFF"/>
        </w:rPr>
        <w:t>教师〔2018〕17号</w:t>
      </w:r>
      <w:r>
        <w:rPr>
          <w:rFonts w:hint="eastAsia" w:ascii="楷体_GB2312" w:hAnsi="楷体_GB2312" w:eastAsia="楷体_GB2312" w:cs="楷体_GB2312"/>
          <w:i w:val="0"/>
          <w:iCs w:val="0"/>
          <w:caps w:val="0"/>
          <w:color w:val="4B4B4B"/>
          <w:spacing w:val="0"/>
          <w:sz w:val="32"/>
          <w:szCs w:val="32"/>
          <w:shd w:val="clear" w:fill="FFFFFF"/>
          <w:lang w:val="en-US" w:eastAsia="zh-CN"/>
        </w:rPr>
        <w:t>)</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二、高校教师要自觉加强师德修养，严格遵守师德规范，严以律己，为人师表，把教书育人和自我修养结合起来，坚持以德立身、以德立学、以德施教、以德育德。发生师德失范行为，本人要承担相应责任。</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四、对师德失范行为的处理，应坚持公平公正、教育与惩处相结合的原则，做到事实清楚、证据确凿、定性准确、处理适当、程序合法、手续完备。</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六、高校师德师风建设要坚持权责对等、分级负责、层层落实、失责必问、问责必严的原则。对于相关单位和责任人不履行或不正确履行职责，有下列情形之一的，根据职责权限和责任划分进行问责：</w:t>
      </w:r>
    </w:p>
    <w:p>
      <w:pPr>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（一）师德师风制度建设、日常教育监督、舆论宣传、预防工作不到位；</w:t>
      </w:r>
    </w:p>
    <w:p>
      <w:pPr>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（二）师德失范问题排查发现不及时；</w:t>
      </w:r>
    </w:p>
    <w:p>
      <w:pPr>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（三）对已发现的师德失范行为处置不力、方式不当；</w:t>
      </w:r>
    </w:p>
    <w:p>
      <w:pPr>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（四）已作出的师德失范行为处理决定落实不到位，师德失范行为整改不彻底；</w:t>
      </w:r>
    </w:p>
    <w:p>
      <w:pPr>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（五）多次出现师德失范问题或因师德失范行为引起不良社会影响；</w:t>
      </w:r>
    </w:p>
    <w:p>
      <w:pPr>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（六）其他应当问责的失职失责情形。</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七、教师出现师德失范问题，所在院（系）行政主要负责人和党组织主要负责人需向学校分别做出检讨，由学校依据有关规定视情节轻重采取约谈、诫勉谈话、通报批评、纪律处分和组织处理等方式进行问责。</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八、教师出现师德失范问题，学校需向上级主管部门做出说明，并引以为戒，进行自查自纠与落实整改。如有学校反复出现师德失范问题，分管校领导应向学校做出检讨，学校应在上级主管部门督导下进行整改。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九、各地各校应当依据本意见制定高校教师师德失范行为负面清单及处理办法，并报上级主管部门备案。</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十、民办高校的劳动人事管理执行《中华人民共和国劳动合同法》规定，对教师师德失范行为的处理，遵照本指导意见执行。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YWQyYTY2ZGQ3OGRhYTZlZWVlODRkMjU0YWYzZmYifQ=="/>
  </w:docVars>
  <w:rsids>
    <w:rsidRoot w:val="00000000"/>
    <w:rsid w:val="14844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11225</dc:creator>
  <cp:lastModifiedBy>刘红芳</cp:lastModifiedBy>
  <dcterms:modified xsi:type="dcterms:W3CDTF">2023-09-21T01:20:28Z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BE9459129C4D49CC926A2478B488AD51_12</vt:lpwstr>
  </property>
</Properties>
</file>